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F0" w:rsidRPr="00E5779B" w:rsidRDefault="00C1657E" w:rsidP="009A07F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:rsidR="009A07F0" w:rsidRPr="00E5779B" w:rsidRDefault="00C1657E" w:rsidP="009A07F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заключении договоров на оказание коммунальной услуги и начале предоставления коммунальной услуги по </w:t>
      </w:r>
      <w:r w:rsidRPr="00132A32">
        <w:rPr>
          <w:rFonts w:ascii="Arial" w:eastAsia="Times New Roman" w:hAnsi="Arial" w:cs="Arial"/>
          <w:b/>
          <w:sz w:val="20"/>
          <w:szCs w:val="20"/>
          <w:lang w:eastAsia="ru-RU"/>
        </w:rPr>
        <w:t>электроснабжению</w:t>
      </w:r>
    </w:p>
    <w:p w:rsidR="009A07F0" w:rsidRPr="003661E0" w:rsidRDefault="00C1657E" w:rsidP="009A07F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ресурсоснабжающей организацией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АО «ЭК «Восток»</w:t>
      </w:r>
    </w:p>
    <w:p w:rsidR="009A07F0" w:rsidRPr="000034DD" w:rsidRDefault="009A07F0" w:rsidP="009A07F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07F0" w:rsidRPr="00D12A46" w:rsidRDefault="00C1657E" w:rsidP="009A07F0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На основании обращения управляющей компании (ТСЖ, ТСН и т.д.), в связи с принятием общим собранием собственников помещений МКД по адресу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r w:rsidR="000C1AC5" w:rsidRPr="00C161D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625018, Тюменская обл, Тюмень г, Андрея Приказнова ул., дом </w:t>
      </w:r>
      <w:r w:rsidR="00DE63B6">
        <w:rPr>
          <w:rFonts w:ascii="Arial" w:eastAsia="Times New Roman" w:hAnsi="Arial" w:cs="Arial"/>
          <w:b/>
          <w:sz w:val="20"/>
          <w:szCs w:val="20"/>
          <w:lang w:eastAsia="ru-RU"/>
        </w:rPr>
        <w:t>7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решения о заключении прямых договоров непосредственно с ресурсоснабжающими организациями, уведомляем о заключении </w:t>
      </w:r>
      <w:r w:rsidRPr="00DA09E0">
        <w:rPr>
          <w:rFonts w:ascii="Arial" w:eastAsia="Times New Roman" w:hAnsi="Arial" w:cs="Arial"/>
          <w:b/>
          <w:sz w:val="20"/>
          <w:szCs w:val="20"/>
          <w:lang w:eastAsia="ru-RU"/>
        </w:rPr>
        <w:t>с 0</w:t>
      </w:r>
      <w:r w:rsidR="000C1AC5">
        <w:rPr>
          <w:rFonts w:ascii="Arial" w:eastAsia="Times New Roman" w:hAnsi="Arial" w:cs="Arial"/>
          <w:b/>
          <w:sz w:val="20"/>
          <w:szCs w:val="20"/>
          <w:lang w:eastAsia="ru-RU"/>
        </w:rPr>
        <w:t>1.09</w:t>
      </w:r>
      <w:r w:rsidRPr="00DA09E0">
        <w:rPr>
          <w:rFonts w:ascii="Arial" w:eastAsia="Times New Roman" w:hAnsi="Arial" w:cs="Arial"/>
          <w:b/>
          <w:sz w:val="20"/>
          <w:szCs w:val="20"/>
          <w:lang w:eastAsia="ru-RU"/>
        </w:rPr>
        <w:t>.2025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договоров на оказание коммунальной услуги и начале 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>предоставления коммунальной услуги по</w:t>
      </w:r>
      <w:r w:rsidRPr="00D12A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электроснабжению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 xml:space="preserve"> ресурсоснабжающей организацией АО «ЭК «Восток».</w:t>
      </w:r>
    </w:p>
    <w:p w:rsidR="009A07F0" w:rsidRPr="000034DD" w:rsidRDefault="009A07F0" w:rsidP="009A07F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07F0" w:rsidRPr="000034DD" w:rsidRDefault="00C1657E" w:rsidP="009A07F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Собственникам помещений по указанному адресу необходимо предоставить в адрес АО «ЭК «Восток» следующие сведения для расчёта размера платы за коммунальную услугу:</w:t>
      </w:r>
    </w:p>
    <w:p w:rsidR="009A07F0" w:rsidRPr="000034DD" w:rsidRDefault="009A07F0" w:rsidP="009A07F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07F0" w:rsidRPr="000034DD" w:rsidRDefault="00C1657E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A07F0" w:rsidRPr="000034DD" w:rsidRDefault="00C1657E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расчёта платы за коммунальные услуги в соответствии с действующим законодательством;</w:t>
      </w:r>
    </w:p>
    <w:p w:rsidR="009A07F0" w:rsidRPr="000034DD" w:rsidRDefault="00C1657E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наличии и типе установленных в жилых помещениях индивидуальных, общих (квартирных), комнатных приборов учёта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учёта, дате опломбирования приборов учёта, на основании показаний которых производится расчёт платы за коммунальные услуги, а также их показания за 12 расчётных периодов, предшествующих дате предоставления таких сведений; </w:t>
      </w:r>
    </w:p>
    <w:p w:rsidR="009A07F0" w:rsidRPr="000034DD" w:rsidRDefault="00C1657E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учёта в жилых помещениях многоквартирного дома; </w:t>
      </w:r>
    </w:p>
    <w:p w:rsidR="009A07F0" w:rsidRPr="000034DD" w:rsidRDefault="00C1657E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:rsidR="009A07F0" w:rsidRPr="000034DD" w:rsidRDefault="00C1657E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:rsidR="009A07F0" w:rsidRPr="000034DD" w:rsidRDefault="00C1657E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сроки, установленные законодательством, на дату предоставления сведений, а также сведения об устранении оснований для введения такого ограничения или приостановления; </w:t>
      </w:r>
    </w:p>
    <w:p w:rsidR="009A07F0" w:rsidRPr="000034DD" w:rsidRDefault="00C1657E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случаях, периодах и об основаниях перерасчёта размера платы за коммунальные услуги, предоставленные потребителю, копии документов, подтверждающих право потребителя на перерасчёт размера платы за предыдущие 12 месяцев; </w:t>
      </w:r>
    </w:p>
    <w:p w:rsidR="009A07F0" w:rsidRPr="000034DD" w:rsidRDefault="00C1657E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9A07F0" w:rsidRPr="000034DD" w:rsidRDefault="009A07F0" w:rsidP="009A07F0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 w:firstLine="567"/>
        <w:jc w:val="both"/>
        <w:rPr>
          <w:rFonts w:ascii="Arial" w:hAnsi="Arial" w:cs="Arial"/>
          <w:i/>
          <w:sz w:val="20"/>
          <w:szCs w:val="20"/>
        </w:rPr>
      </w:pPr>
    </w:p>
    <w:p w:rsidR="009A07F0" w:rsidRPr="000034DD" w:rsidRDefault="00C1657E" w:rsidP="009A07F0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 xml:space="preserve">Адреса центров очного обслуживания клиентов в г. </w:t>
      </w:r>
      <w:r>
        <w:rPr>
          <w:rFonts w:ascii="Arial" w:hAnsi="Arial" w:cs="Arial"/>
          <w:b/>
          <w:sz w:val="20"/>
          <w:szCs w:val="20"/>
        </w:rPr>
        <w:t>Тюмень</w:t>
      </w:r>
      <w:r w:rsidRPr="000034DD">
        <w:rPr>
          <w:rFonts w:ascii="Arial" w:hAnsi="Arial" w:cs="Arial"/>
          <w:b/>
          <w:sz w:val="20"/>
          <w:szCs w:val="20"/>
        </w:rPr>
        <w:t>:</w:t>
      </w:r>
    </w:p>
    <w:p w:rsidR="009A07F0" w:rsidRPr="00714C66" w:rsidRDefault="00C1657E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Пышминская, 1А (совместно с ОАО «ТРИЦ») </w:t>
      </w:r>
    </w:p>
    <w:p w:rsidR="009A07F0" w:rsidRPr="00714C66" w:rsidRDefault="00C1657E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</w:p>
    <w:p w:rsidR="009A07F0" w:rsidRPr="00714C66" w:rsidRDefault="00C1657E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Пермякова, 37 (совместно с ОАО «ТРИЦ») </w:t>
      </w:r>
    </w:p>
    <w:p w:rsidR="009A07F0" w:rsidRPr="00714C66" w:rsidRDefault="00C1657E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</w:p>
    <w:p w:rsidR="009A07F0" w:rsidRPr="00714C66" w:rsidRDefault="00C1657E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Котовского, 54 (совместно с ОАО «ТРИЦ») </w:t>
      </w:r>
    </w:p>
    <w:p w:rsidR="009A07F0" w:rsidRPr="00714C66" w:rsidRDefault="00C1657E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</w:p>
    <w:p w:rsidR="009A07F0" w:rsidRPr="00714C66" w:rsidRDefault="00C1657E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Первомайская, 40, к.1 (совместно с ОАО «ТРИЦ»)</w:t>
      </w:r>
    </w:p>
    <w:p w:rsidR="009A07F0" w:rsidRPr="00714C66" w:rsidRDefault="00C1657E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 без перерыва; в субботу с 9:00 до 15:00, перерыв с 12:00 до 13:00</w:t>
      </w:r>
    </w:p>
    <w:p w:rsidR="009A07F0" w:rsidRPr="00714C66" w:rsidRDefault="00C1657E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Широтная, 92, к.1 (совместно с ОАО «ТРИЦ»)</w:t>
      </w:r>
    </w:p>
    <w:p w:rsidR="009A07F0" w:rsidRPr="00714C66" w:rsidRDefault="00C1657E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</w:p>
    <w:p w:rsidR="009A07F0" w:rsidRPr="00714C66" w:rsidRDefault="00C1657E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Солнечный проезд, 5 (совместно с ОАО «ТРИЦ»)</w:t>
      </w:r>
    </w:p>
    <w:p w:rsidR="009A07F0" w:rsidRPr="00714C66" w:rsidRDefault="00C1657E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в субботу с 9:00 до 15:00, перерыв с 12:00 до 13:00</w:t>
      </w:r>
    </w:p>
    <w:p w:rsidR="009A07F0" w:rsidRPr="00714C66" w:rsidRDefault="00C1657E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Александра Логунова, 5А (совместно с ОАО «ТРИЦ»)</w:t>
      </w:r>
    </w:p>
    <w:p w:rsidR="009A07F0" w:rsidRPr="00714C66" w:rsidRDefault="00C1657E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18:00 без перерыва на обед,</w:t>
      </w:r>
    </w:p>
    <w:p w:rsidR="009A07F0" w:rsidRDefault="00C1657E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выходные дни: суббота, воскресенье</w:t>
      </w:r>
    </w:p>
    <w:p w:rsidR="009A07F0" w:rsidRPr="00714C66" w:rsidRDefault="009A07F0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07F0" w:rsidRPr="000034DD" w:rsidRDefault="00C1657E" w:rsidP="009A07F0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034DD">
        <w:rPr>
          <w:rFonts w:ascii="Arial" w:hAnsi="Arial" w:cs="Arial"/>
          <w:sz w:val="20"/>
          <w:szCs w:val="20"/>
        </w:rPr>
        <w:t xml:space="preserve">С актуальным режимом работы офисов Энергосбытовой компании «Восток» можно ознакомиться на сайте в разделе </w:t>
      </w:r>
      <w:hyperlink r:id="rId7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Офисы обслуживания клиентов»</w:t>
        </w:r>
      </w:hyperlink>
      <w:r w:rsidRPr="000034DD">
        <w:rPr>
          <w:rFonts w:ascii="Arial" w:hAnsi="Arial" w:cs="Arial"/>
          <w:sz w:val="20"/>
          <w:szCs w:val="20"/>
        </w:rPr>
        <w:t xml:space="preserve">. </w:t>
      </w:r>
    </w:p>
    <w:p w:rsidR="009A07F0" w:rsidRPr="000034DD" w:rsidRDefault="009A07F0" w:rsidP="009A07F0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9A07F0" w:rsidRPr="000034DD" w:rsidRDefault="00C1657E" w:rsidP="009A07F0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Согласно действующему </w:t>
      </w:r>
      <w:r w:rsidR="000C1AC5" w:rsidRPr="000034DD">
        <w:rPr>
          <w:rFonts w:ascii="Arial" w:hAnsi="Arial" w:cs="Arial"/>
          <w:sz w:val="20"/>
          <w:szCs w:val="20"/>
        </w:rPr>
        <w:t>законодательству плата</w:t>
      </w:r>
      <w:r w:rsidRPr="000034DD">
        <w:rPr>
          <w:rFonts w:ascii="Arial" w:hAnsi="Arial" w:cs="Arial"/>
          <w:sz w:val="20"/>
          <w:szCs w:val="20"/>
        </w:rPr>
        <w:t xml:space="preserve"> за коммунальные услуги вносится ежемесячно до 10 числа месяца, следующего за истекшим месяцем, если иной срок не установлен договором управления многоквартирным домом или решением общего собрания членов ТСЖ или жилищного кооператива.</w:t>
      </w:r>
    </w:p>
    <w:p w:rsidR="009A07F0" w:rsidRPr="000034DD" w:rsidRDefault="00C1657E" w:rsidP="009A07F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A07F0" w:rsidRPr="000034DD" w:rsidRDefault="00C1657E" w:rsidP="009A07F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Со всеми способами оплаты коммунальных услуг можно ознакомиться на сайте </w:t>
      </w:r>
      <w:r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в разделе </w:t>
      </w:r>
      <w:hyperlink r:id="rId8" w:history="1">
        <w:r w:rsidRPr="000034DD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«Клиентам – Физическим лицам – Способы оплаты»</w:t>
        </w:r>
      </w:hyperlink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9A07F0" w:rsidRPr="000034DD" w:rsidRDefault="009A07F0" w:rsidP="009A07F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A07F0" w:rsidRPr="000034DD" w:rsidRDefault="00C1657E" w:rsidP="009A07F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Сроки и способы передачи показаний приборов учёта ресурсоснабжающим организациям</w:t>
      </w:r>
    </w:p>
    <w:p w:rsidR="009A07F0" w:rsidRPr="000034DD" w:rsidRDefault="009A07F0" w:rsidP="009A07F0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9A07F0" w:rsidRPr="000034DD" w:rsidRDefault="00C1657E" w:rsidP="009A07F0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 xml:space="preserve">Потребитель вправе при наличии индивидуального, общего (квартирного) или комнатного прибора учёта ежемесячно снимать его показания и передавать полученные показания исполнителю коммунальной услуги или уполномоченному им лицу. Рекомендуем потребителям ежемесячно передавать показания приборов учёта с 15 по 25 число текущего месяца. </w:t>
      </w:r>
    </w:p>
    <w:p w:rsidR="009A07F0" w:rsidRPr="000034DD" w:rsidRDefault="009A07F0" w:rsidP="009A07F0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9A07F0" w:rsidRPr="000034DD" w:rsidRDefault="00C1657E" w:rsidP="009A07F0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 xml:space="preserve">Со всеми способами передачи показаний проборов учёта можно ознакомиться на сайте </w:t>
      </w:r>
      <w:r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в разделе </w:t>
      </w:r>
      <w:hyperlink r:id="rId9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Способы передачи приборов учёта электроэнергии»</w:t>
        </w:r>
      </w:hyperlink>
      <w:r w:rsidRPr="000034DD">
        <w:rPr>
          <w:rFonts w:ascii="Arial" w:hAnsi="Arial" w:cs="Arial"/>
          <w:color w:val="21262B"/>
          <w:sz w:val="20"/>
          <w:szCs w:val="20"/>
        </w:rPr>
        <w:t xml:space="preserve">. </w:t>
      </w:r>
    </w:p>
    <w:p w:rsidR="009A07F0" w:rsidRPr="000034DD" w:rsidRDefault="009A07F0" w:rsidP="009A07F0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9A07F0" w:rsidRPr="00D12A46" w:rsidRDefault="00C1657E" w:rsidP="009A07F0">
      <w:pPr>
        <w:pStyle w:val="a7"/>
        <w:spacing w:after="0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12A46"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eastAsia="ru-RU"/>
        </w:rPr>
        <w:t>Реквизиты для оплаты безналичным расчётом:</w:t>
      </w:r>
    </w:p>
    <w:p w:rsidR="009A07F0" w:rsidRPr="00D12A46" w:rsidRDefault="00C1657E" w:rsidP="009A07F0">
      <w:pPr>
        <w:pStyle w:val="a7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Получатель платежа: АО «ЭК «Восток» </w:t>
      </w:r>
    </w:p>
    <w:p w:rsidR="009A07F0" w:rsidRPr="00D12A46" w:rsidRDefault="00C1657E" w:rsidP="009A07F0">
      <w:pPr>
        <w:pStyle w:val="a7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ИНН 7705424509, КПП 770401001, АО КБ «АГРОПРОМКРЕДИТ», БИК 044525710</w:t>
      </w:r>
    </w:p>
    <w:p w:rsidR="009A07F0" w:rsidRPr="00D12A46" w:rsidRDefault="00C1657E" w:rsidP="009A07F0">
      <w:pPr>
        <w:pStyle w:val="a7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Кор/счёт: 30101810545250000710</w:t>
      </w:r>
    </w:p>
    <w:p w:rsidR="009A07F0" w:rsidRPr="00D12A46" w:rsidRDefault="00C1657E" w:rsidP="009A07F0">
      <w:pPr>
        <w:pStyle w:val="a7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Расчётный счёт 40702810570000002442.</w:t>
      </w:r>
    </w:p>
    <w:p w:rsidR="009A07F0" w:rsidRPr="000034DD" w:rsidRDefault="009A07F0" w:rsidP="009A07F0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CF6AB6" w:rsidRDefault="00CF6AB6"/>
    <w:sectPr w:rsidR="00CF6AB6" w:rsidSect="00EC3441">
      <w:footerReference w:type="even" r:id="rId10"/>
      <w:footerReference w:type="default" r:id="rId11"/>
      <w:footerReference w:type="first" r:id="rId12"/>
      <w:pgSz w:w="11906" w:h="16838"/>
      <w:pgMar w:top="426" w:right="850" w:bottom="113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15D" w:rsidRDefault="00BA215D">
      <w:pPr>
        <w:spacing w:after="0" w:line="240" w:lineRule="auto"/>
      </w:pPr>
      <w:r>
        <w:separator/>
      </w:r>
    </w:p>
  </w:endnote>
  <w:endnote w:type="continuationSeparator" w:id="0">
    <w:p w:rsidR="00BA215D" w:rsidRDefault="00BA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C1657E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178300" cy="177800"/>
              <wp:effectExtent l="0" t="9525" r="3175" b="3175"/>
              <wp:wrapNone/>
              <wp:docPr id="5" name="Надпись 5" descr="Watermark_3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1783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7247" w:rsidRDefault="00C1657E" w:rsidP="000E7247">
                          <w:pPr>
                            <w:pStyle w:val="a3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0E724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Н-В-ТМН-2025-0026,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0E724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:1917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2049" type="#_x0000_t202" alt="Watermark_3102" style="width:329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2336" filled="f" stroked="f">
              <o:lock v:ext="edit" shapetype="t"/>
              <v:textbox style="mso-fit-shape-to-text:t">
                <w:txbxContent>
                  <w:p w:rsidR="000E7247" w:rsidP="000E7247" w14:paraId="0135241A" w14:textId="77777777">
                    <w:pPr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WSSDOCS</w:t>
                    </w:r>
                    <w:r w:rsidRPr="000E7247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Н-В-ТМН-2025-0026,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</w:t>
                    </w:r>
                    <w:r w:rsidRPr="000E7247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:1917</w:t>
                    </w:r>
                  </w:p>
                </w:txbxContent>
              </v:textbox>
            </v:shape>
          </w:pict>
        </mc:Fallback>
      </mc:AlternateContent>
    </w:r>
  </w:p>
  <w:p w:rsidR="001C2275" w:rsidRDefault="001C2275"/>
  <w:p w:rsidR="0057086C" w:rsidRDefault="0057086C"/>
  <w:p w:rsidR="00D54442" w:rsidRDefault="00D54442"/>
  <w:p w:rsidR="00911BC6" w:rsidRDefault="00BA215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802" style="position:absolute;margin-left:0;margin-top:0;width:343pt;height:14pt;z-index:251659264;mso-position-horizontal:left" fillcolor="#919191" strokecolor="#919191">
          <v:textpath style="font-family:&quot;Microsoft Sans Serif&quot;;font-size:14pt;v-text-align:left" string="Рег. номер WSSDOCS: ЭСЗ-В-ТМН-2025-40198,  ID:548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61" w:rsidRPr="002C0C6F" w:rsidRDefault="00843361">
    <w:pPr>
      <w:pStyle w:val="a5"/>
      <w:jc w:val="center"/>
      <w:rPr>
        <w:rFonts w:ascii="Arial" w:hAnsi="Arial" w:cs="Arial"/>
      </w:rPr>
    </w:pPr>
  </w:p>
  <w:p w:rsidR="00F05388" w:rsidRDefault="00F05388"/>
  <w:p w:rsidR="001C2275" w:rsidRDefault="001C2275"/>
  <w:p w:rsidR="00911BC6" w:rsidRDefault="00911BC6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C1657E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178300" cy="177800"/>
              <wp:effectExtent l="0" t="9525" r="3175" b="3175"/>
              <wp:wrapNone/>
              <wp:docPr id="2" name="Надпись 2" descr="Watermark_3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1783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7247" w:rsidRDefault="00C1657E" w:rsidP="000E7247">
                          <w:pPr>
                            <w:pStyle w:val="a3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0E724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Н-В-ТМН-2025-0026,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0E724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:1917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2052" type="#_x0000_t202" alt="Watermark_3102" style="width:329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4384" filled="f" stroked="f">
              <o:lock v:ext="edit" shapetype="t"/>
              <v:textbox style="mso-fit-shape-to-text:t">
                <w:txbxContent>
                  <w:p w:rsidR="000E7247" w:rsidP="000E7247" w14:paraId="0135241B" w14:textId="77777777">
                    <w:pPr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WSSDOCS</w:t>
                    </w:r>
                    <w:r w:rsidRPr="000E7247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Н-В-ТМН-2025-0026,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</w:t>
                    </w:r>
                    <w:r w:rsidRPr="000E7247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:1917</w:t>
                    </w:r>
                  </w:p>
                </w:txbxContent>
              </v:textbox>
            </v:shape>
          </w:pict>
        </mc:Fallback>
      </mc:AlternateContent>
    </w:r>
  </w:p>
  <w:p w:rsidR="001C2275" w:rsidRDefault="001C2275"/>
  <w:p w:rsidR="0057086C" w:rsidRDefault="0057086C"/>
  <w:p w:rsidR="00D54442" w:rsidRDefault="00D54442"/>
  <w:p w:rsidR="00911BC6" w:rsidRDefault="00BA215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7" type="#_x0000_t136" alt="Watermark_2802" style="position:absolute;margin-left:0;margin-top:0;width:343pt;height:14pt;z-index:251661312;mso-position-horizontal:left" fillcolor="#919191" strokecolor="#919191">
          <v:textpath style="font-family:&quot;Microsoft Sans Serif&quot;;font-size:14pt;v-text-align:left" string="Рег. номер WSSDOCS: ЭСЗ-В-ТМН-2025-40198,  ID:548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15D" w:rsidRDefault="00BA215D">
      <w:pPr>
        <w:spacing w:after="0" w:line="240" w:lineRule="auto"/>
      </w:pPr>
      <w:r>
        <w:separator/>
      </w:r>
    </w:p>
  </w:footnote>
  <w:footnote w:type="continuationSeparator" w:id="0">
    <w:p w:rsidR="00BA215D" w:rsidRDefault="00BA2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35A68"/>
    <w:multiLevelType w:val="hybridMultilevel"/>
    <w:tmpl w:val="B27248B2"/>
    <w:lvl w:ilvl="0" w:tplc="D104F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14B6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3ABE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E14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E5A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2A20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B8E6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6DB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AA02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07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47"/>
    <w:rsid w:val="000034DD"/>
    <w:rsid w:val="000C1AC5"/>
    <w:rsid w:val="000E7247"/>
    <w:rsid w:val="00132A32"/>
    <w:rsid w:val="001756BE"/>
    <w:rsid w:val="001B5713"/>
    <w:rsid w:val="001C2275"/>
    <w:rsid w:val="002A20C1"/>
    <w:rsid w:val="002C0C6F"/>
    <w:rsid w:val="003661E0"/>
    <w:rsid w:val="00397CA5"/>
    <w:rsid w:val="003A0D8D"/>
    <w:rsid w:val="0057086C"/>
    <w:rsid w:val="0070229B"/>
    <w:rsid w:val="00714C66"/>
    <w:rsid w:val="007961DB"/>
    <w:rsid w:val="007C5C99"/>
    <w:rsid w:val="00843361"/>
    <w:rsid w:val="008E3694"/>
    <w:rsid w:val="00911BC6"/>
    <w:rsid w:val="009A07F0"/>
    <w:rsid w:val="00BA215D"/>
    <w:rsid w:val="00C161D9"/>
    <w:rsid w:val="00C1657E"/>
    <w:rsid w:val="00CC49FA"/>
    <w:rsid w:val="00CF6AB6"/>
    <w:rsid w:val="00D12A46"/>
    <w:rsid w:val="00D13980"/>
    <w:rsid w:val="00D54442"/>
    <w:rsid w:val="00D672A6"/>
    <w:rsid w:val="00DA09E0"/>
    <w:rsid w:val="00DE63B6"/>
    <w:rsid w:val="00E5779B"/>
    <w:rsid w:val="00EB5C70"/>
    <w:rsid w:val="00F05388"/>
    <w:rsid w:val="00F50C0F"/>
    <w:rsid w:val="00F5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  <w15:chartTrackingRefBased/>
  <w15:docId w15:val="{09B7B4C7-D29C-453A-AE91-2B84EED2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7247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0E7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247"/>
  </w:style>
  <w:style w:type="paragraph" w:styleId="a7">
    <w:name w:val="List Paragraph"/>
    <w:basedOn w:val="a"/>
    <w:uiPriority w:val="34"/>
    <w:qFormat/>
    <w:rsid w:val="000E724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E7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7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umen.vostok-electra.ru/clients/physical-persons/payment-method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yumen.vostok-electra.ru/clients/physical-persons/service-offices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yumen.vostok-electra.ru/clients/physical-persons/the-modes-of-transmission-of-meter-readings-of-the-electric-pow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Юлия Сергеевна</dc:creator>
  <cp:lastModifiedBy>Базаров Константин Валерьянович</cp:lastModifiedBy>
  <cp:revision>4</cp:revision>
  <dcterms:created xsi:type="dcterms:W3CDTF">2025-09-02T13:36:00Z</dcterms:created>
  <dcterms:modified xsi:type="dcterms:W3CDTF">2025-09-02T13:40:00Z</dcterms:modified>
</cp:coreProperties>
</file>